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El InDRE recibe nuevos equipos para realizar pruebas PCR y combatir el COVID-19 en México tras donación de CAF</w:t>
      </w:r>
    </w:p>
    <w:p w:rsidR="00000000" w:rsidDel="00000000" w:rsidP="00000000" w:rsidRDefault="00000000" w:rsidRPr="00000000" w14:paraId="0000000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3">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CIUDAD DE MÉXICO. 04 de junio de 2021.- Luego de la donación de USD $400.000 que CAF -banco de desarrollo de América Latina- realizó el año pasado al “Plan Nacional de Apoyo al Sistema de Salud en la Atención a la Pandemia por COVID-19” liderado por la Subsecretaría de Asuntos Multilaterales y Derechos Humanos de la Secretaría de Relaciones Exteriores (SRE), el Instituto de Diagnóstico y Referencia Epidemiológicos (InDRE) recibió los equipos de extracción nucleica para la detección del coronavirus en pruebas PCR adquiridos con esos recursos, a través del Programa de Naciones Unidas para el Desarrollo (PNUD).</w:t>
      </w:r>
    </w:p>
    <w:p w:rsidR="00000000" w:rsidDel="00000000" w:rsidP="00000000" w:rsidRDefault="00000000" w:rsidRPr="00000000" w14:paraId="0000000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 trató de una donación bajo el concepto de Asistencia Humanitaria para brindar apoyo a la situación de emergencia generada por el COVID-19 en México. El objetivo de este donativo fue otorgar recursos financieros para la atención de la situación de emergencia generada por el coronavirus en México a fin de apoyar la adquisición de insumos y productos sanitarios  en el marco del Plan Nacional antes mencionado.</w:t>
      </w:r>
    </w:p>
    <w:p w:rsidR="00000000" w:rsidDel="00000000" w:rsidP="00000000" w:rsidRDefault="00000000" w:rsidRPr="00000000" w14:paraId="0000000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Esta donación se realizó con recursos provenientes del Fondo de Desarrollo Humano (FDH) de CAF y se designó como ejecutor al Programa de Naciones Unidas para el Desarrollo (PNUD), quien gestionó la selección de equipos, compra respectiva, logística de traslado a México y posterior entrega al InDRE. </w:t>
      </w:r>
    </w:p>
    <w:p w:rsidR="00000000" w:rsidDel="00000000" w:rsidP="00000000" w:rsidRDefault="00000000" w:rsidRPr="00000000" w14:paraId="0000000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“La pandemia ocasionada por el virus SARS-CoV-2 (COVID-19), representa el desafío de salud pública más importante que enfrenta actualmente la humanidad. En CAF consideramos que es necesario continuar promoviendo que la coordinación entre la cooperación internacional facilite un suministro equitativo de insumos para que la atención prioritaria en materia de salud que llegue a los sectores más vulnerables”</w:t>
      </w:r>
      <w:r w:rsidDel="00000000" w:rsidR="00000000" w:rsidRPr="00000000">
        <w:rPr>
          <w:rFonts w:ascii="Arial Narrow" w:cs="Arial Narrow" w:eastAsia="Arial Narrow" w:hAnsi="Arial Narrow"/>
          <w:rtl w:val="0"/>
        </w:rPr>
        <w:t xml:space="preserve">, indicó Emilio Uquillas Freire Representante de CAF en México.</w:t>
      </w:r>
    </w:p>
    <w:p w:rsidR="00000000" w:rsidDel="00000000" w:rsidP="00000000" w:rsidRDefault="00000000" w:rsidRPr="00000000" w14:paraId="0000000A">
      <w:pPr>
        <w:spacing w:after="240" w:befor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través del programa de apoyo a sus 19 países accionistas ante la emergencia generada por el COVID-19, CAF ha otorgado recursos no reembolsables por hasta USD $5 millones y ha puesto a disposición más de USD $6.000 millones en créditos para fortalecer los sistemas de salud y acompañar los planes de reactivación económica y social que están liderando las autoridades de diversos países de la región.</w:t>
      </w:r>
    </w:p>
    <w:p w:rsidR="00000000" w:rsidDel="00000000" w:rsidP="00000000" w:rsidRDefault="00000000" w:rsidRPr="00000000" w14:paraId="0000000B">
      <w:pPr>
        <w:spacing w:after="240" w:befor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También ha puesto a disposición de sus países miembros diversos mecanismos de capacitación virtual y se encuentra abocada a la generación de conocimiento, elementos fundamentales para que los países puedan diseñar sus estrategias de recuperación económica,</w:t>
      </w:r>
      <w:hyperlink r:id="rId6">
        <w:r w:rsidDel="00000000" w:rsidR="00000000" w:rsidRPr="00000000">
          <w:rPr>
            <w:rFonts w:ascii="Arial Narrow" w:cs="Arial Narrow" w:eastAsia="Arial Narrow" w:hAnsi="Arial Narrow"/>
            <w:rtl w:val="0"/>
          </w:rPr>
          <w:t xml:space="preserve"> </w:t>
        </w:r>
      </w:hyperlink>
      <w:hyperlink r:id="rId7">
        <w:r w:rsidDel="00000000" w:rsidR="00000000" w:rsidRPr="00000000">
          <w:rPr>
            <w:rFonts w:ascii="Arial Narrow" w:cs="Arial Narrow" w:eastAsia="Arial Narrow" w:hAnsi="Arial Narrow"/>
            <w:color w:val="1155cc"/>
            <w:u w:val="single"/>
            <w:rtl w:val="0"/>
          </w:rPr>
          <w:t xml:space="preserve">entre otras propuestas</w:t>
        </w:r>
      </w:hyperlink>
      <w:r w:rsidDel="00000000" w:rsidR="00000000" w:rsidRPr="00000000">
        <w:rPr>
          <w:rFonts w:ascii="Arial Narrow" w:cs="Arial Narrow" w:eastAsia="Arial Narrow" w:hAnsi="Arial Narrow"/>
          <w:color w:val="1155cc"/>
          <w:u w:val="single"/>
          <w:rtl w:val="0"/>
        </w:rPr>
        <w:t xml:space="preserve">, </w:t>
      </w:r>
      <w:r w:rsidDel="00000000" w:rsidR="00000000" w:rsidRPr="00000000">
        <w:rPr>
          <w:rFonts w:ascii="Arial Narrow" w:cs="Arial Narrow" w:eastAsia="Arial Narrow" w:hAnsi="Arial Narrow"/>
          <w:rtl w:val="0"/>
        </w:rPr>
        <w:t xml:space="preserve">para mitigar los efectos negativos derivados del COVID-19.</w:t>
      </w:r>
    </w:p>
    <w:p w:rsidR="00000000" w:rsidDel="00000000" w:rsidP="00000000" w:rsidRDefault="00000000" w:rsidRPr="00000000" w14:paraId="0000000C">
      <w:pPr>
        <w:spacing w:after="240" w:before="240" w:lineRule="auto"/>
        <w:ind w:left="140" w:firstLine="0"/>
        <w:jc w:val="both"/>
        <w:rPr>
          <w:rFonts w:ascii="Arial Narrow" w:cs="Arial Narrow" w:eastAsia="Arial Narrow" w:hAnsi="Arial Narrow"/>
          <w:color w:val="1155cc"/>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w:t>
      </w:r>
      <w:hyperlink r:id="rId8">
        <w:r w:rsidDel="00000000" w:rsidR="00000000" w:rsidRPr="00000000">
          <w:rPr>
            <w:rFonts w:ascii="Arial Narrow" w:cs="Arial Narrow" w:eastAsia="Arial Narrow" w:hAnsi="Arial Narrow"/>
            <w:sz w:val="18"/>
            <w:szCs w:val="18"/>
            <w:rtl w:val="0"/>
          </w:rPr>
          <w:t xml:space="preserve"> </w:t>
        </w:r>
      </w:hyperlink>
      <w:hyperlink r:id="rId9">
        <w:r w:rsidDel="00000000" w:rsidR="00000000" w:rsidRPr="00000000">
          <w:rPr>
            <w:rFonts w:ascii="Arial Narrow" w:cs="Arial Narrow" w:eastAsia="Arial Narrow" w:hAnsi="Arial Narrow"/>
            <w:color w:val="1155cc"/>
            <w:sz w:val="18"/>
            <w:szCs w:val="18"/>
            <w:rtl w:val="0"/>
          </w:rPr>
          <w:t xml:space="preserve">www.caf.com</w:t>
        </w:r>
      </w:hyperlink>
      <w:r w:rsidDel="00000000" w:rsidR="00000000" w:rsidRPr="00000000">
        <w:rPr>
          <w:rtl w:val="0"/>
        </w:rPr>
      </w:r>
    </w:p>
    <w:p w:rsidR="00000000" w:rsidDel="00000000" w:rsidP="00000000" w:rsidRDefault="00000000" w:rsidRPr="00000000" w14:paraId="0000000D">
      <w:pPr>
        <w:spacing w:after="240" w:befor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infocaf@caf.com</w:t>
      </w:r>
    </w:p>
    <w:p w:rsidR="00000000" w:rsidDel="00000000" w:rsidP="00000000" w:rsidRDefault="00000000" w:rsidRPr="00000000" w14:paraId="0000000E">
      <w:pPr>
        <w:shd w:fill="ffffff" w:val="clear"/>
        <w:spacing w:after="240" w:before="2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Encuéntrenos en: Facebook:</w:t>
      </w:r>
      <w:hyperlink r:id="rId10">
        <w:r w:rsidDel="00000000" w:rsidR="00000000" w:rsidRPr="00000000">
          <w:rPr>
            <w:rFonts w:ascii="Arial Narrow" w:cs="Arial Narrow" w:eastAsia="Arial Narrow" w:hAnsi="Arial Narrow"/>
            <w:sz w:val="18"/>
            <w:szCs w:val="18"/>
            <w:rtl w:val="0"/>
          </w:rPr>
          <w:t xml:space="preserve"> </w:t>
        </w:r>
      </w:hyperlink>
      <w:hyperlink r:id="rId11">
        <w:r w:rsidDel="00000000" w:rsidR="00000000" w:rsidRPr="00000000">
          <w:rPr>
            <w:rFonts w:ascii="Arial Narrow" w:cs="Arial Narrow" w:eastAsia="Arial Narrow" w:hAnsi="Arial Narrow"/>
            <w:color w:val="1155cc"/>
            <w:sz w:val="18"/>
            <w:szCs w:val="18"/>
            <w:u w:val="single"/>
            <w:rtl w:val="0"/>
          </w:rPr>
          <w:t xml:space="preserve">CAF.America.Latina</w:t>
        </w:r>
      </w:hyperlink>
      <w:r w:rsidDel="00000000" w:rsidR="00000000" w:rsidRPr="00000000">
        <w:rPr>
          <w:rFonts w:ascii="Arial Narrow" w:cs="Arial Narrow" w:eastAsia="Arial Narrow" w:hAnsi="Arial Narrow"/>
          <w:sz w:val="18"/>
          <w:szCs w:val="18"/>
          <w:rtl w:val="0"/>
        </w:rPr>
        <w:t xml:space="preserve"> / Twitter: @AgendaCAF</w:t>
      </w:r>
    </w:p>
    <w:p w:rsidR="00000000" w:rsidDel="00000000" w:rsidP="00000000" w:rsidRDefault="00000000" w:rsidRPr="00000000" w14:paraId="0000000F">
      <w:pPr>
        <w:spacing w:after="240" w:befor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10">
      <w:pPr>
        <w:jc w:val="both"/>
        <w:rPr>
          <w:rFonts w:ascii="Arial Narrow" w:cs="Arial Narrow" w:eastAsia="Arial Narrow" w:hAnsi="Arial Narrow"/>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line="240" w:lineRule="auto"/>
      <w:rPr>
        <w:color w:val="11204c"/>
        <w:sz w:val="20"/>
        <w:szCs w:val="20"/>
      </w:rPr>
    </w:pPr>
    <w:r w:rsidDel="00000000" w:rsidR="00000000" w:rsidRPr="00000000">
      <w:rPr>
        <w:color w:val="11204c"/>
        <w:sz w:val="20"/>
        <w:szCs w:val="20"/>
      </w:rPr>
      <w:drawing>
        <wp:inline distB="114300" distT="114300" distL="114300" distR="114300">
          <wp:extent cx="2352675" cy="4381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2675"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240" w:lineRule="auto"/>
      <w:rPr>
        <w:color w:val="11204c"/>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CAF.America.Latina" TargetMode="External"/><Relationship Id="rId10" Type="http://schemas.openxmlformats.org/officeDocument/2006/relationships/hyperlink" Target="https://www.facebook.com/CAF.America.Latina" TargetMode="External"/><Relationship Id="rId12" Type="http://schemas.openxmlformats.org/officeDocument/2006/relationships/header" Target="header1.xml"/><Relationship Id="rId9" Type="http://schemas.openxmlformats.org/officeDocument/2006/relationships/hyperlink" Target="http://www.caf.com/" TargetMode="External"/><Relationship Id="rId5" Type="http://schemas.openxmlformats.org/officeDocument/2006/relationships/styles" Target="styles.xml"/><Relationship Id="rId6" Type="http://schemas.openxmlformats.org/officeDocument/2006/relationships/hyperlink" Target="https://www.caf.com/es/temas/c/covid19/" TargetMode="External"/><Relationship Id="rId7" Type="http://schemas.openxmlformats.org/officeDocument/2006/relationships/hyperlink" Target="https://www.caf.com/es/temas/c/covid19/" TargetMode="External"/><Relationship Id="rId8" Type="http://schemas.openxmlformats.org/officeDocument/2006/relationships/hyperlink" Target="http://www.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